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469AB" w14:textId="061D738D" w:rsidR="00B10FC7" w:rsidRDefault="00B10FC7">
      <w:r>
        <w:t xml:space="preserve">PNB 101CE </w:t>
      </w:r>
    </w:p>
    <w:p w14:paraId="121964BA" w14:textId="20CD4AD4" w:rsidR="00B10FC7" w:rsidRDefault="00B10FC7">
      <w:r w:rsidRPr="00B10FC7">
        <w:drawing>
          <wp:inline distT="0" distB="0" distL="0" distR="0" wp14:anchorId="7EBC6D5F" wp14:editId="4F1C8039">
            <wp:extent cx="5731510" cy="3358515"/>
            <wp:effectExtent l="0" t="0" r="2540" b="0"/>
            <wp:docPr id="14170098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00984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5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BF9F6" w14:textId="36F69472" w:rsidR="00B10FC7" w:rsidRDefault="00B10FC7" w:rsidP="00B10FC7">
      <w:pPr>
        <w:pStyle w:val="ListParagraph"/>
        <w:numPr>
          <w:ilvl w:val="0"/>
          <w:numId w:val="1"/>
        </w:numPr>
      </w:pPr>
      <w:r>
        <w:t xml:space="preserve">VOLUMES GREEN SIDE </w:t>
      </w:r>
    </w:p>
    <w:p w14:paraId="0254D890" w14:textId="635AAAFE" w:rsidR="00B10FC7" w:rsidRPr="00B10FC7" w:rsidRDefault="00B10FC7" w:rsidP="00B10FC7">
      <w:pPr>
        <w:pStyle w:val="ListParagraph"/>
        <w:numPr>
          <w:ilvl w:val="0"/>
          <w:numId w:val="1"/>
        </w:numPr>
      </w:pPr>
      <w:r>
        <w:t xml:space="preserve">TRADED ABOVE THE VWAP </w:t>
      </w:r>
    </w:p>
    <w:sectPr w:rsidR="00B10FC7" w:rsidRPr="00B10F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4011E2"/>
    <w:multiLevelType w:val="hybridMultilevel"/>
    <w:tmpl w:val="FFA61F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8786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FC7"/>
    <w:rsid w:val="003E1EBA"/>
    <w:rsid w:val="00B10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7A2A9"/>
  <w15:chartTrackingRefBased/>
  <w15:docId w15:val="{4AECDFDC-631E-41E4-A716-737EEE3E8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0F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0F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0F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0F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0F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0F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0F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0F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0F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0F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0F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0F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0F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F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0F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0F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0F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0F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0F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0F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0F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0F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0F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0F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0F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0F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0F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0F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0F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2025-05-21T11:48:00Z</dcterms:created>
  <dcterms:modified xsi:type="dcterms:W3CDTF">2025-05-21T11:49:00Z</dcterms:modified>
</cp:coreProperties>
</file>