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9217F" w14:textId="1499E04D" w:rsidR="00E16760" w:rsidRDefault="00E16760">
      <w:pPr>
        <w:rPr>
          <w:lang w:val="en-US"/>
        </w:rPr>
      </w:pPr>
      <w:r>
        <w:rPr>
          <w:lang w:val="en-US"/>
        </w:rPr>
        <w:t xml:space="preserve">PIIND 3400CE </w:t>
      </w:r>
    </w:p>
    <w:p w14:paraId="68BDAC71" w14:textId="53BBF83C" w:rsidR="00E16760" w:rsidRDefault="00E16760">
      <w:pPr>
        <w:rPr>
          <w:lang w:val="en-US"/>
        </w:rPr>
      </w:pPr>
      <w:r w:rsidRPr="00E16760">
        <w:rPr>
          <w:lang w:val="en-US"/>
        </w:rPr>
        <w:drawing>
          <wp:inline distT="0" distB="0" distL="0" distR="0" wp14:anchorId="6D2EFA20" wp14:editId="4C2079F5">
            <wp:extent cx="5731510" cy="3382645"/>
            <wp:effectExtent l="0" t="0" r="2540" b="8255"/>
            <wp:docPr id="6649131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9131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F90D0" w14:textId="4228FCCD" w:rsidR="00E16760" w:rsidRPr="00E16760" w:rsidRDefault="00E16760" w:rsidP="00E1676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2</w:t>
      </w:r>
      <w:r w:rsidRPr="00E16760">
        <w:rPr>
          <w:vertAlign w:val="superscript"/>
          <w:lang w:val="en-US"/>
        </w:rPr>
        <w:t>ND</w:t>
      </w:r>
      <w:r>
        <w:rPr>
          <w:lang w:val="en-US"/>
        </w:rPr>
        <w:t xml:space="preserve"> TGT @110</w:t>
      </w:r>
    </w:p>
    <w:sectPr w:rsidR="00E16760" w:rsidRPr="00E167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207E04"/>
    <w:multiLevelType w:val="hybridMultilevel"/>
    <w:tmpl w:val="2A14C2F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9909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760"/>
    <w:rsid w:val="009F6880"/>
    <w:rsid w:val="00E1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7B0FE"/>
  <w15:chartTrackingRefBased/>
  <w15:docId w15:val="{6C5E9A20-2B58-46CC-8E7F-3425D78CA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67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7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7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7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7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7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7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7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7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7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7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7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7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7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7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7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7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7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7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67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7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67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67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67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67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67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7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7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7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2025-03-12T09:29:00Z</dcterms:created>
  <dcterms:modified xsi:type="dcterms:W3CDTF">2025-03-12T09:30:00Z</dcterms:modified>
</cp:coreProperties>
</file>