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F0859" w14:textId="053E22E7" w:rsidR="005C4E20" w:rsidRDefault="005C4E20">
      <w:pPr>
        <w:rPr>
          <w:lang w:val="en-US"/>
        </w:rPr>
      </w:pPr>
      <w:r>
        <w:rPr>
          <w:lang w:val="en-US"/>
        </w:rPr>
        <w:t xml:space="preserve">ADANIGREEN 860CE </w:t>
      </w:r>
    </w:p>
    <w:p w14:paraId="50D67FEB" w14:textId="1001E4D1" w:rsidR="005C4E20" w:rsidRDefault="005C4E20">
      <w:pPr>
        <w:rPr>
          <w:lang w:val="en-US"/>
        </w:rPr>
      </w:pPr>
      <w:r w:rsidRPr="005C4E20">
        <w:rPr>
          <w:lang w:val="en-US"/>
        </w:rPr>
        <w:drawing>
          <wp:inline distT="0" distB="0" distL="0" distR="0" wp14:anchorId="33B3EF0F" wp14:editId="74F76552">
            <wp:extent cx="5731510" cy="3397250"/>
            <wp:effectExtent l="0" t="0" r="2540" b="0"/>
            <wp:docPr id="164770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7041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C1254" w14:textId="23A702F0" w:rsidR="005C4E20" w:rsidRPr="005C4E20" w:rsidRDefault="005C4E20" w:rsidP="005C4E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5C4E20">
        <w:rPr>
          <w:vertAlign w:val="superscript"/>
          <w:lang w:val="en-US"/>
        </w:rPr>
        <w:t>ND</w:t>
      </w:r>
      <w:r>
        <w:rPr>
          <w:lang w:val="en-US"/>
        </w:rPr>
        <w:t xml:space="preserve"> TGT @55</w:t>
      </w:r>
    </w:p>
    <w:sectPr w:rsidR="005C4E20" w:rsidRPr="005C4E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4871B5"/>
    <w:multiLevelType w:val="hybridMultilevel"/>
    <w:tmpl w:val="87D2F6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794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E20"/>
    <w:rsid w:val="000F158D"/>
    <w:rsid w:val="005C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369CF"/>
  <w15:chartTrackingRefBased/>
  <w15:docId w15:val="{6AA8F519-10B9-43A6-8937-7C9741AA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4E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4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4E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4E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4E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4E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4E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4E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4E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E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4E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4E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4E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4E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4E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4E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4E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4E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4E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4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4E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4E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4E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4E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4E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4E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4E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4E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4E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2025-03-13T13:27:00Z</dcterms:created>
  <dcterms:modified xsi:type="dcterms:W3CDTF">2025-03-13T13:28:00Z</dcterms:modified>
</cp:coreProperties>
</file>