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E71E3" w14:textId="35A3808E" w:rsidR="008062B2" w:rsidRDefault="008062B2">
      <w:pPr>
        <w:rPr>
          <w:lang w:val="en-US"/>
        </w:rPr>
      </w:pPr>
      <w:r>
        <w:rPr>
          <w:lang w:val="en-US"/>
        </w:rPr>
        <w:t xml:space="preserve">ABB 5400 CE </w:t>
      </w:r>
    </w:p>
    <w:p w14:paraId="2246A835" w14:textId="2B9B0930" w:rsidR="008062B2" w:rsidRDefault="008062B2">
      <w:pPr>
        <w:rPr>
          <w:lang w:val="en-US"/>
        </w:rPr>
      </w:pPr>
      <w:r w:rsidRPr="008062B2">
        <w:rPr>
          <w:lang w:val="en-US"/>
        </w:rPr>
        <w:drawing>
          <wp:inline distT="0" distB="0" distL="0" distR="0" wp14:anchorId="75BC3D64" wp14:editId="00D72EB9">
            <wp:extent cx="5731510" cy="3458210"/>
            <wp:effectExtent l="0" t="0" r="2540" b="8890"/>
            <wp:docPr id="19819508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9508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2DA20" w14:textId="1ABD14B8" w:rsidR="008062B2" w:rsidRPr="008062B2" w:rsidRDefault="008062B2" w:rsidP="008062B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8062B2">
        <w:rPr>
          <w:vertAlign w:val="superscript"/>
          <w:lang w:val="en-US"/>
        </w:rPr>
        <w:t>ST</w:t>
      </w:r>
      <w:r>
        <w:rPr>
          <w:lang w:val="en-US"/>
        </w:rPr>
        <w:t xml:space="preserve"> TGT @150</w:t>
      </w:r>
    </w:p>
    <w:sectPr w:rsidR="008062B2" w:rsidRPr="00806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276A09"/>
    <w:multiLevelType w:val="hybridMultilevel"/>
    <w:tmpl w:val="6450C7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229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2B2"/>
    <w:rsid w:val="0001497A"/>
    <w:rsid w:val="0080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A2128"/>
  <w15:chartTrackingRefBased/>
  <w15:docId w15:val="{2703228C-E6F5-4A8F-9240-5D0ACB79A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62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2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2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2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2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2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2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2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2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2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2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2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2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2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2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2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2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2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62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62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2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62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62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62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62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62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2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2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62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2025-03-19T14:02:00Z</dcterms:created>
  <dcterms:modified xsi:type="dcterms:W3CDTF">2025-03-19T14:03:00Z</dcterms:modified>
</cp:coreProperties>
</file>